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D74C6E" w:rsidRDefault="00D74C6E">
      <w:r>
        <w:rPr>
          <w:noProof/>
        </w:rPr>
        <mc:AlternateContent>
          <mc:Choice Requires="wps">
            <w:drawing>
              <wp:anchor distT="0" distB="0" distL="114300" distR="114300" simplePos="0" relativeHeight="251660288" behindDoc="0" locked="0" layoutInCell="1" allowOverlap="1" wp14:anchorId="02CA6495" wp14:editId="29815FBA">
                <wp:simplePos x="0" y="0"/>
                <wp:positionH relativeFrom="column">
                  <wp:posOffset>2598</wp:posOffset>
                </wp:positionH>
                <wp:positionV relativeFrom="paragraph">
                  <wp:posOffset>87630</wp:posOffset>
                </wp:positionV>
                <wp:extent cx="5588000" cy="954107"/>
                <wp:effectExtent l="0" t="0" r="0" b="0"/>
                <wp:wrapNone/>
                <wp:docPr id="2" name="文本框 1">
                  <a:extLst xmlns:a="http://schemas.openxmlformats.org/drawingml/2006/main">
                    <a:ext uri="{FF2B5EF4-FFF2-40B4-BE49-F238E27FC236}">
                      <a16:creationId xmlns:a16="http://schemas.microsoft.com/office/drawing/2014/main" id="{43C9E931-5C09-FB45-82A0-E5C892EA07C0}"/>
                    </a:ext>
                  </a:extLst>
                </wp:docPr>
                <wp:cNvGraphicFramePr/>
                <a:graphic xmlns:a="http://schemas.openxmlformats.org/drawingml/2006/main">
                  <a:graphicData uri="http://schemas.microsoft.com/office/word/2010/wordprocessingShape">
                    <wps:wsp>
                      <wps:cNvSpPr txBox="1"/>
                      <wps:spPr>
                        <a:xfrm>
                          <a:off x="0" y="0"/>
                          <a:ext cx="5588000" cy="954107"/>
                        </a:xfrm>
                        <a:prstGeom prst="rect">
                          <a:avLst/>
                        </a:prstGeom>
                        <a:noFill/>
                      </wps:spPr>
                      <wps:txbx>
                        <w:txbxContent>
                          <w:p w:rsidR="00D74C6E" w:rsidRPr="00D74C6E" w:rsidRDefault="00D74C6E" w:rsidP="00D74C6E">
                            <w:pPr>
                              <w:rPr>
                                <w:kern w:val="0"/>
                                <w:sz w:val="28"/>
                                <w:szCs w:val="28"/>
                              </w:rPr>
                            </w:pPr>
                            <w:r w:rsidRPr="00D74C6E">
                              <w:rPr>
                                <w:rFonts w:ascii="Calibri" w:eastAsia="华文仿宋" w:hAnsi="Calibri" w:cs="Calibri"/>
                                <w:i/>
                                <w:iCs/>
                                <w:color w:val="000000"/>
                                <w:kern w:val="24"/>
                                <w:sz w:val="28"/>
                                <w:szCs w:val="28"/>
                              </w:rPr>
                              <w:t>The chart below shows the types of music albums purchased by people in Britain according to sex and age.</w:t>
                            </w:r>
                          </w:p>
                        </w:txbxContent>
                      </wps:txbx>
                      <wps:bodyPr wrap="square" rtlCol="0">
                        <a:spAutoFit/>
                      </wps:bodyPr>
                    </wps:wsp>
                  </a:graphicData>
                </a:graphic>
                <wp14:sizeRelH relativeFrom="margin">
                  <wp14:pctWidth>0</wp14:pctWidth>
                </wp14:sizeRelH>
              </wp:anchor>
            </w:drawing>
          </mc:Choice>
          <mc:Fallback>
            <w:pict>
              <v:shapetype w14:anchorId="02CA6495" id="_x0000_t202" coordsize="21600,21600" o:spt="202" path="m,l,21600r21600,l21600,xe">
                <v:stroke joinstyle="miter"/>
                <v:path gradientshapeok="t" o:connecttype="rect"/>
              </v:shapetype>
              <v:shape id="文本框 1" o:spid="_x0000_s1026" type="#_x0000_t202" style="position:absolute;left:0;text-align:left;margin-left:.2pt;margin-top:6.9pt;width:440pt;height:75.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" filled="f" stroked="f">
                <v:textbox style="mso-fit-shape-to-text:t">
                  <w:txbxContent>
                    <w:p w:rsidR="00D74C6E" w:rsidRPr="00D74C6E" w:rsidRDefault="00D74C6E" w:rsidP="00D74C6E">
                      <w:pPr>
                        <w:rPr>
                          <w:kern w:val="0"/>
                          <w:sz w:val="28"/>
                          <w:szCs w:val="28"/>
                        </w:rPr>
                      </w:pPr>
                      <w:r w:rsidRPr="00D74C6E">
                        <w:rPr>
                          <w:rFonts w:ascii="Calibri" w:eastAsia="华文仿宋" w:hAnsi="Calibri" w:cs="Calibri"/>
                          <w:i/>
                          <w:iCs/>
                          <w:color w:val="000000"/>
                          <w:kern w:val="24"/>
                          <w:sz w:val="28"/>
                          <w:szCs w:val="28"/>
                          <w:eastAsianLayout w:id="-2127271935"/>
                        </w:rPr>
                        <w:t>The chart below shows the types of music albums purchased by people in Britain according to sex and age.</w:t>
                      </w:r>
                    </w:p>
                  </w:txbxContent>
                </v:textbox>
              </v:shape>
            </w:pict>
          </mc:Fallback>
        </mc:AlternateContent>
      </w:r>
    </w:p>
    <w:p w:rsidR="00D74C6E" w:rsidRDefault="00D74C6E"/>
    <w:p w:rsidR="00D74C6E" w:rsidRDefault="00D74C6E"/>
    <w:p w:rsidR="00D74C6E" w:rsidRDefault="00D74C6E"/>
    <w:p w:rsidR="00D74C6E" w:rsidRDefault="00D74C6E">
      <w:r>
        <w:rPr>
          <w:noProof/>
        </w:rPr>
        <w:drawing>
          <wp:anchor distT="0" distB="0" distL="114300" distR="114300" simplePos="0" relativeHeight="251659264" behindDoc="0" locked="0" layoutInCell="1" allowOverlap="1" wp14:anchorId="55BC6F19" wp14:editId="6A3FE558">
            <wp:simplePos x="0" y="0"/>
            <wp:positionH relativeFrom="column">
              <wp:posOffset>94095</wp:posOffset>
            </wp:positionH>
            <wp:positionV relativeFrom="paragraph">
              <wp:posOffset>175029</wp:posOffset>
            </wp:positionV>
            <wp:extent cx="4910282" cy="3025444"/>
            <wp:effectExtent l="0" t="0" r="5080" b="0"/>
            <wp:wrapNone/>
            <wp:docPr id="6" name="屏幕快照 2016-03-05 下午9.11.36.png" descr="屏幕快照 2016-03-05 下午9.11.36.png">
              <a:extLst xmlns:a="http://schemas.openxmlformats.org/drawingml/2006/main">
                <a:ext uri="{FF2B5EF4-FFF2-40B4-BE49-F238E27FC236}">
                  <a16:creationId xmlns:a16="http://schemas.microsoft.com/office/drawing/2014/main" id="{994DBE19-4144-1147-8E9C-1B5285D6F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快照 2016-03-05 下午9.11.36.png" descr="屏幕快照 2016-03-05 下午9.11.36.png">
                      <a:extLst>
                        <a:ext uri="{FF2B5EF4-FFF2-40B4-BE49-F238E27FC236}">
                          <a16:creationId xmlns:a16="http://schemas.microsoft.com/office/drawing/2014/main" id="{994DBE19-4144-1147-8E9C-1B5285D6FB56}"/>
                        </a:ext>
                      </a:extLst>
                    </pic:cNvPr>
                    <pic:cNvPicPr>
                      <a:picLocks noChangeAspect="1"/>
                    </pic:cNvPicPr>
                  </pic:nvPicPr>
                  <pic:blipFill rotWithShape="1">
                    <a:blip r:embed="rId4"/>
                    <a:srcRect l="5413" t="16237" r="11868"/>
                    <a:stretch/>
                  </pic:blipFill>
                  <pic:spPr>
                    <a:xfrm>
                      <a:off x="0" y="0"/>
                      <a:ext cx="4910282" cy="3025444"/>
                    </a:xfrm>
                    <a:prstGeom prst="rect">
                      <a:avLst/>
                    </a:prstGeom>
                    <a:noFill/>
                  </pic:spPr>
                </pic:pic>
              </a:graphicData>
            </a:graphic>
            <wp14:sizeRelH relativeFrom="margin">
              <wp14:pctWidth>0</wp14:pctWidth>
            </wp14:sizeRelH>
            <wp14:sizeRelV relativeFrom="margin">
              <wp14:pctHeight>0</wp14:pctHeight>
            </wp14:sizeRelV>
          </wp:anchor>
        </w:drawing>
      </w:r>
    </w:p>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Default="00D74C6E"/>
    <w:p w:rsidR="00D74C6E" w:rsidRPr="00D74C6E" w:rsidRDefault="00D74C6E">
      <w:pPr>
        <w:rPr>
          <w:rFonts w:ascii="Calibri" w:hAnsi="Calibri" w:cs="Calibri"/>
          <w:b/>
          <w:bCs/>
          <w:i/>
          <w:iCs/>
          <w:sz w:val="22"/>
          <w:szCs w:val="22"/>
        </w:rPr>
      </w:pPr>
      <w:r w:rsidRPr="00D74C6E">
        <w:rPr>
          <w:rFonts w:ascii="Calibri" w:hAnsi="Calibri" w:cs="Calibri"/>
          <w:b/>
          <w:bCs/>
          <w:i/>
          <w:iCs/>
          <w:sz w:val="22"/>
          <w:szCs w:val="22"/>
        </w:rPr>
        <w:t xml:space="preserve">Sample: </w:t>
      </w:r>
    </w:p>
    <w:p w:rsidR="00BC2F69" w:rsidRPr="00D74C6E" w:rsidRDefault="00176DD7">
      <w:pPr>
        <w:rPr>
          <w:rFonts w:ascii="Calibri" w:hAnsi="Calibri" w:cs="Calibri"/>
          <w:sz w:val="22"/>
          <w:szCs w:val="22"/>
        </w:rPr>
      </w:pPr>
      <w:r w:rsidRPr="00D74C6E">
        <w:rPr>
          <w:rFonts w:ascii="Calibri" w:hAnsi="Calibri" w:cs="Calibri"/>
          <w:sz w:val="22"/>
          <w:szCs w:val="22"/>
        </w:rPr>
        <w:t xml:space="preserve">The bar chart indicates the purchase rate of three types of music in Britain, including pop music, rock music and classical music, according to people’s gender and age group. </w:t>
      </w:r>
    </w:p>
    <w:p w:rsidR="00176DD7" w:rsidRPr="00D74C6E" w:rsidRDefault="00176DD7">
      <w:pPr>
        <w:rPr>
          <w:rFonts w:ascii="Calibri" w:hAnsi="Calibri" w:cs="Calibri"/>
          <w:sz w:val="22"/>
          <w:szCs w:val="22"/>
        </w:rPr>
      </w:pPr>
    </w:p>
    <w:p w:rsidR="00176DD7" w:rsidRPr="00D74C6E" w:rsidRDefault="00D74C6E">
      <w:pPr>
        <w:rPr>
          <w:rFonts w:ascii="Calibri" w:hAnsi="Calibri" w:cs="Calibri"/>
          <w:sz w:val="22"/>
          <w:szCs w:val="22"/>
        </w:rPr>
      </w:pPr>
      <w:r>
        <w:rPr>
          <w:rFonts w:ascii="Calibri" w:hAnsi="Calibri" w:cs="Calibri"/>
          <w:sz w:val="22"/>
          <w:szCs w:val="22"/>
        </w:rPr>
        <w:t>Obviously,</w:t>
      </w:r>
      <w:r w:rsidR="00176DD7" w:rsidRPr="00D74C6E">
        <w:rPr>
          <w:rFonts w:ascii="Calibri" w:hAnsi="Calibri" w:cs="Calibri"/>
          <w:sz w:val="22"/>
          <w:szCs w:val="22"/>
        </w:rPr>
        <w:t xml:space="preserve"> men have more interest in buying albums than women, regardless of the </w:t>
      </w:r>
      <w:r>
        <w:rPr>
          <w:rFonts w:ascii="Calibri" w:hAnsi="Calibri" w:cs="Calibri"/>
          <w:sz w:val="22"/>
          <w:szCs w:val="22"/>
        </w:rPr>
        <w:t>music type</w:t>
      </w:r>
      <w:r w:rsidR="00176DD7" w:rsidRPr="00D74C6E">
        <w:rPr>
          <w:rFonts w:ascii="Calibri" w:hAnsi="Calibri" w:cs="Calibri"/>
          <w:sz w:val="22"/>
          <w:szCs w:val="22"/>
        </w:rPr>
        <w:t xml:space="preserve">, </w:t>
      </w:r>
      <w:r w:rsidRPr="00D74C6E">
        <w:rPr>
          <w:rFonts w:ascii="Calibri" w:hAnsi="Calibri" w:cs="Calibri"/>
          <w:sz w:val="22"/>
          <w:szCs w:val="22"/>
        </w:rPr>
        <w:t xml:space="preserve">although the difference is not significant in classical music. Both genders show more preference in pop and rock music, with an average purchase rate of about 24% and 15% respectively. </w:t>
      </w:r>
    </w:p>
    <w:p w:rsidR="00D74C6E" w:rsidRPr="00D74C6E" w:rsidRDefault="00D74C6E">
      <w:pPr>
        <w:rPr>
          <w:rFonts w:ascii="Calibri" w:hAnsi="Calibri" w:cs="Calibri"/>
          <w:sz w:val="22"/>
          <w:szCs w:val="22"/>
        </w:rPr>
      </w:pPr>
    </w:p>
    <w:p w:rsidR="00D74C6E" w:rsidRPr="00D74C6E" w:rsidRDefault="00D74C6E" w:rsidP="00D74C6E">
      <w:pPr>
        <w:rPr>
          <w:rFonts w:ascii="Calibri" w:hAnsi="Calibri" w:cs="Calibri"/>
          <w:sz w:val="22"/>
          <w:szCs w:val="22"/>
        </w:rPr>
      </w:pPr>
      <w:r w:rsidRPr="00D74C6E">
        <w:rPr>
          <w:rFonts w:ascii="Calibri" w:hAnsi="Calibri" w:cs="Calibri"/>
          <w:sz w:val="22"/>
          <w:szCs w:val="22"/>
        </w:rPr>
        <w:t>People’s choices of buying music vary considerably across different age groups. Teenagers, as well as those in their early twenties, tend to buy more pop music and rock music albums instead of classical music, and the purchasing ratio for the former two types goes up to nearly 30%. This is also true for those aged between 35 and 44, with a generally lower ratio.</w:t>
      </w:r>
    </w:p>
    <w:p w:rsidR="00D74C6E" w:rsidRPr="00D74C6E" w:rsidRDefault="00D74C6E" w:rsidP="00D74C6E">
      <w:pPr>
        <w:rPr>
          <w:rFonts w:ascii="Calibri" w:hAnsi="Calibri" w:cs="Calibri"/>
          <w:sz w:val="22"/>
          <w:szCs w:val="22"/>
        </w:rPr>
      </w:pPr>
      <w:r w:rsidRPr="00D74C6E">
        <w:rPr>
          <w:rFonts w:ascii="Calibri" w:hAnsi="Calibri" w:cs="Calibri"/>
          <w:sz w:val="22"/>
          <w:szCs w:val="22"/>
        </w:rPr>
        <w:t>Those aged between 25 and 34 seem to be willing to try a variety of music forms, including classical music, with higher rate of purchase than the previous groups for all three forms (up to nearly 35%). Older people, who are 45 or older, buy less albums in general and prefer classical music to the other two forms.</w:t>
      </w:r>
    </w:p>
    <w:p w:rsidR="00D74C6E" w:rsidRPr="00D74C6E" w:rsidRDefault="00D74C6E">
      <w:pPr>
        <w:rPr>
          <w:rFonts w:ascii="Calibri" w:hAnsi="Calibri" w:cs="Calibri"/>
          <w:sz w:val="22"/>
          <w:szCs w:val="22"/>
        </w:rPr>
      </w:pPr>
    </w:p>
    <w:p w:rsidR="00D74C6E" w:rsidRDefault="00F03AA4">
      <w:pPr>
        <w:rPr>
          <w:rFonts w:ascii="Calibri" w:hAnsi="Calibri" w:cs="Calibri"/>
          <w:sz w:val="22"/>
          <w:szCs w:val="22"/>
        </w:rPr>
      </w:pPr>
      <w:r>
        <w:rPr>
          <w:rFonts w:ascii="Calibri" w:hAnsi="Calibri" w:cs="Calibri"/>
          <w:sz w:val="22"/>
          <w:szCs w:val="22"/>
        </w:rPr>
        <w:t>In general</w:t>
      </w:r>
      <w:r w:rsidR="00D74C6E" w:rsidRPr="00D74C6E">
        <w:rPr>
          <w:rFonts w:ascii="Calibri" w:hAnsi="Calibri" w:cs="Calibri"/>
          <w:sz w:val="22"/>
          <w:szCs w:val="22"/>
        </w:rPr>
        <w:t xml:space="preserve">, </w:t>
      </w:r>
      <w:r>
        <w:rPr>
          <w:rFonts w:ascii="Calibri" w:hAnsi="Calibri" w:cs="Calibri"/>
          <w:sz w:val="22"/>
          <w:szCs w:val="22"/>
        </w:rPr>
        <w:t xml:space="preserve">pop music and rock music have higher market shares among British consumers. </w:t>
      </w:r>
    </w:p>
    <w:p w:rsidR="00D74C6E" w:rsidRPr="00D74C6E" w:rsidRDefault="00D74C6E">
      <w:pPr>
        <w:rPr>
          <w:rFonts w:ascii="Calibri" w:hAnsi="Calibri" w:cs="Calibri"/>
          <w:sz w:val="22"/>
          <w:szCs w:val="22"/>
        </w:rPr>
      </w:pPr>
      <w:r>
        <w:rPr>
          <w:rFonts w:ascii="Calibri" w:hAnsi="Calibri" w:cs="Calibri" w:hint="eastAsia"/>
          <w:sz w:val="22"/>
          <w:szCs w:val="22"/>
        </w:rPr>
        <w:t>(</w:t>
      </w:r>
      <w:r>
        <w:rPr>
          <w:rFonts w:ascii="Calibri" w:hAnsi="Calibri" w:cs="Calibri"/>
          <w:sz w:val="22"/>
          <w:szCs w:val="22"/>
        </w:rPr>
        <w:t>21</w:t>
      </w:r>
      <w:r w:rsidR="00F03AA4">
        <w:rPr>
          <w:rFonts w:ascii="Calibri" w:hAnsi="Calibri" w:cs="Calibri"/>
          <w:sz w:val="22"/>
          <w:szCs w:val="22"/>
        </w:rPr>
        <w:t xml:space="preserve">0 </w:t>
      </w:r>
      <w:r>
        <w:rPr>
          <w:rFonts w:ascii="Calibri" w:hAnsi="Calibri" w:cs="Calibri"/>
          <w:sz w:val="22"/>
          <w:szCs w:val="22"/>
        </w:rPr>
        <w:t>words)</w:t>
      </w:r>
    </w:p>
    <w:sectPr w:rsidR="00D74C6E" w:rsidRPr="00D74C6E"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仿宋">
    <w:altName w:val="STFangsong"/>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DD7"/>
    <w:rsid w:val="00143B91"/>
    <w:rsid w:val="00176DD7"/>
    <w:rsid w:val="00BB208B"/>
    <w:rsid w:val="00D063D8"/>
    <w:rsid w:val="00D74C6E"/>
    <w:rsid w:val="00D7740C"/>
    <w:rsid w:val="00F03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98B2"/>
  <w15:chartTrackingRefBased/>
  <w15:docId w15:val="{8D9C3485-B95C-1E41-9019-60467835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208B"/>
    <w:rPr>
      <w:rFonts w:ascii="宋体" w:eastAsia="宋体"/>
      <w:sz w:val="18"/>
      <w:szCs w:val="18"/>
    </w:rPr>
  </w:style>
  <w:style w:type="character" w:customStyle="1" w:styleId="a4">
    <w:name w:val="批注框文本 字符"/>
    <w:basedOn w:val="a0"/>
    <w:link w:val="a3"/>
    <w:uiPriority w:val="99"/>
    <w:semiHidden/>
    <w:rsid w:val="00BB208B"/>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28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4</cp:revision>
  <cp:lastPrinted>2020-01-06T09:48:00Z</cp:lastPrinted>
  <dcterms:created xsi:type="dcterms:W3CDTF">2020-01-06T09:48:00Z</dcterms:created>
  <dcterms:modified xsi:type="dcterms:W3CDTF">2020-01-29T03:11:00Z</dcterms:modified>
</cp:coreProperties>
</file>